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D1B3" w14:textId="58494DA8" w:rsidR="006F6A2E" w:rsidRDefault="007D55C6">
      <w:r>
        <w:t xml:space="preserve">Summary of House Bill </w:t>
      </w:r>
      <w:proofErr w:type="gramStart"/>
      <w:r>
        <w:t>2445  RCW</w:t>
      </w:r>
      <w:proofErr w:type="gramEnd"/>
      <w:r>
        <w:t xml:space="preserve"> 11.28.110 Changes to WA State Probate Law</w:t>
      </w:r>
    </w:p>
    <w:p w14:paraId="01654760" w14:textId="77777777" w:rsidR="007D55C6" w:rsidRDefault="007D55C6"/>
    <w:p w14:paraId="5441BE6E" w14:textId="77777777" w:rsidR="007D55C6" w:rsidRPr="007D55C6" w:rsidRDefault="007D55C6" w:rsidP="007D55C6">
      <w:r w:rsidRPr="007D55C6">
        <w:t>certified professional guardians and conservators</w:t>
      </w:r>
    </w:p>
    <w:p w14:paraId="79335A39" w14:textId="77777777" w:rsidR="007D55C6" w:rsidRPr="007D55C6" w:rsidRDefault="007D55C6" w:rsidP="007D55C6">
      <w:r w:rsidRPr="007D55C6">
        <w:t xml:space="preserve">For Washington Certified Professional Guardians and Conservators (CPGCs), </w:t>
      </w:r>
      <w:r w:rsidRPr="007D55C6">
        <w:rPr>
          <w:b/>
          <w:bCs/>
        </w:rPr>
        <w:t>Engrossed House Bill 2445 (Chapter 204, Laws of 2026)</w:t>
      </w:r>
      <w:r w:rsidRPr="007D55C6">
        <w:t xml:space="preserve"> became effective </w:t>
      </w:r>
      <w:r w:rsidRPr="007D55C6">
        <w:rPr>
          <w:b/>
          <w:bCs/>
        </w:rPr>
        <w:t xml:space="preserve">June 11, </w:t>
      </w:r>
      <w:proofErr w:type="gramStart"/>
      <w:r w:rsidRPr="007D55C6">
        <w:rPr>
          <w:b/>
          <w:bCs/>
        </w:rPr>
        <w:t>2026</w:t>
      </w:r>
      <w:proofErr w:type="gramEnd"/>
      <w:r w:rsidRPr="007D55C6">
        <w:t xml:space="preserve"> and significantly changes probate administration, particularly when a guardian or conservator seeks appointment as the personal representative (executor/administrator) of a deceased protected person's estate. The bill was enacted to address so-called "probates for profit" and increase transparency and protection for heirs and beneficiaries. </w:t>
      </w:r>
    </w:p>
    <w:p w14:paraId="42193BDC" w14:textId="77777777" w:rsidR="007D55C6" w:rsidRPr="007D55C6" w:rsidRDefault="007D55C6" w:rsidP="007D55C6">
      <w:pPr>
        <w:rPr>
          <w:b/>
          <w:bCs/>
        </w:rPr>
      </w:pPr>
      <w:r w:rsidRPr="007D55C6">
        <w:rPr>
          <w:b/>
          <w:bCs/>
        </w:rPr>
        <w:t>Key Takeaways for CPGCs</w:t>
      </w:r>
    </w:p>
    <w:p w14:paraId="5D1A4A33" w14:textId="77777777" w:rsidR="007D55C6" w:rsidRPr="007D55C6" w:rsidRDefault="007D55C6" w:rsidP="007D55C6">
      <w:pPr>
        <w:rPr>
          <w:b/>
          <w:bCs/>
        </w:rPr>
      </w:pPr>
      <w:r w:rsidRPr="007D55C6">
        <w:rPr>
          <w:b/>
          <w:bCs/>
        </w:rPr>
        <w:t>1. Conservators and Guardians Now Have Statutory Priority</w:t>
      </w:r>
    </w:p>
    <w:p w14:paraId="549D7A37" w14:textId="77777777" w:rsidR="007D55C6" w:rsidRPr="007D55C6" w:rsidRDefault="007D55C6" w:rsidP="007D55C6">
      <w:r w:rsidRPr="007D55C6">
        <w:t>If the deceased person died without a will (intestate), the order of persons entitled to appointment as administrator has been clarified.</w:t>
      </w:r>
    </w:p>
    <w:p w14:paraId="38667B34" w14:textId="77777777" w:rsidR="007D55C6" w:rsidRPr="007D55C6" w:rsidRDefault="007D55C6" w:rsidP="007D55C6">
      <w:r w:rsidRPr="007D55C6">
        <w:t>After the surviving spouse and next of kin, priority may be given to a:</w:t>
      </w:r>
    </w:p>
    <w:p w14:paraId="4E9150F5" w14:textId="77777777" w:rsidR="007D55C6" w:rsidRPr="007D55C6" w:rsidRDefault="007D55C6" w:rsidP="007D55C6">
      <w:pPr>
        <w:numPr>
          <w:ilvl w:val="0"/>
          <w:numId w:val="1"/>
        </w:numPr>
      </w:pPr>
      <w:r w:rsidRPr="007D55C6">
        <w:t xml:space="preserve">Guardian </w:t>
      </w:r>
    </w:p>
    <w:p w14:paraId="37DBA364" w14:textId="77777777" w:rsidR="007D55C6" w:rsidRPr="007D55C6" w:rsidRDefault="007D55C6" w:rsidP="007D55C6">
      <w:pPr>
        <w:numPr>
          <w:ilvl w:val="0"/>
          <w:numId w:val="1"/>
        </w:numPr>
      </w:pPr>
      <w:r w:rsidRPr="007D55C6">
        <w:t xml:space="preserve">Conservator </w:t>
      </w:r>
    </w:p>
    <w:p w14:paraId="00180BBF" w14:textId="77777777" w:rsidR="007D55C6" w:rsidRPr="007D55C6" w:rsidRDefault="007D55C6" w:rsidP="007D55C6">
      <w:pPr>
        <w:numPr>
          <w:ilvl w:val="0"/>
          <w:numId w:val="1"/>
        </w:numPr>
      </w:pPr>
      <w:r w:rsidRPr="007D55C6">
        <w:t xml:space="preserve">Trustee </w:t>
      </w:r>
    </w:p>
    <w:p w14:paraId="35875EC0" w14:textId="77777777" w:rsidR="007D55C6" w:rsidRPr="007D55C6" w:rsidRDefault="007D55C6" w:rsidP="007D55C6">
      <w:pPr>
        <w:numPr>
          <w:ilvl w:val="0"/>
          <w:numId w:val="1"/>
        </w:numPr>
      </w:pPr>
      <w:r w:rsidRPr="007D55C6">
        <w:t xml:space="preserve">Agent under a durable power of attorney </w:t>
      </w:r>
    </w:p>
    <w:p w14:paraId="254AC6B7" w14:textId="77777777" w:rsidR="007D55C6" w:rsidRPr="007D55C6" w:rsidRDefault="007D55C6" w:rsidP="007D55C6">
      <w:r w:rsidRPr="007D55C6">
        <w:rPr>
          <w:b/>
          <w:bCs/>
        </w:rPr>
        <w:t xml:space="preserve">if that fiduciary controlled or potentially controlled substantially </w:t>
      </w:r>
      <w:proofErr w:type="gramStart"/>
      <w:r w:rsidRPr="007D55C6">
        <w:rPr>
          <w:b/>
          <w:bCs/>
        </w:rPr>
        <w:t>all of</w:t>
      </w:r>
      <w:proofErr w:type="gramEnd"/>
      <w:r w:rsidRPr="007D55C6">
        <w:rPr>
          <w:b/>
          <w:bCs/>
        </w:rPr>
        <w:t xml:space="preserve"> the decedent's probate and </w:t>
      </w:r>
      <w:proofErr w:type="spellStart"/>
      <w:r w:rsidRPr="007D55C6">
        <w:rPr>
          <w:b/>
          <w:bCs/>
        </w:rPr>
        <w:t>nonprobate</w:t>
      </w:r>
      <w:proofErr w:type="spellEnd"/>
      <w:r w:rsidRPr="007D55C6">
        <w:rPr>
          <w:b/>
          <w:bCs/>
        </w:rPr>
        <w:t xml:space="preserve"> assets.</w:t>
      </w:r>
      <w:r w:rsidRPr="007D55C6">
        <w:t xml:space="preserve"> </w:t>
      </w:r>
    </w:p>
    <w:p w14:paraId="40B62F3A" w14:textId="77777777" w:rsidR="007D55C6" w:rsidRPr="007D55C6" w:rsidRDefault="007D55C6" w:rsidP="007D55C6">
      <w:r w:rsidRPr="007D55C6">
        <w:t>This is important because many CPGCs managing a conservatorship at death will now have a clearer statutory basis for petitioning to administer the estate.</w:t>
      </w:r>
    </w:p>
    <w:p w14:paraId="283E8842" w14:textId="77777777" w:rsidR="007D55C6" w:rsidRPr="007D55C6" w:rsidRDefault="00000000" w:rsidP="007D55C6">
      <w:r>
        <w:pict w14:anchorId="5EE81877">
          <v:rect id="_x0000_i1025" style="width:0;height:1.5pt" o:hralign="center" o:hrstd="t" o:hr="t" fillcolor="#a0a0a0" stroked="f"/>
        </w:pict>
      </w:r>
    </w:p>
    <w:p w14:paraId="01FE0AB2" w14:textId="77777777" w:rsidR="007D55C6" w:rsidRPr="007D55C6" w:rsidRDefault="007D55C6" w:rsidP="007D55C6">
      <w:pPr>
        <w:rPr>
          <w:b/>
          <w:bCs/>
        </w:rPr>
      </w:pPr>
      <w:r w:rsidRPr="007D55C6">
        <w:rPr>
          <w:b/>
          <w:bCs/>
        </w:rPr>
        <w:t>2. Petitions Must Include an Asset Search</w:t>
      </w:r>
    </w:p>
    <w:p w14:paraId="09ED036B" w14:textId="77777777" w:rsidR="007D55C6" w:rsidRPr="007D55C6" w:rsidRDefault="007D55C6" w:rsidP="007D55C6">
      <w:r w:rsidRPr="007D55C6">
        <w:t xml:space="preserve">HB 2445 amended RCW 11.28.110 to require the petitioner to describe the asset search performed before filing for probate. The court now expects evidence that the petitioner made reasonable efforts to identify assets and heirs. </w:t>
      </w:r>
    </w:p>
    <w:p w14:paraId="64A8CE8D" w14:textId="77777777" w:rsidR="007D55C6" w:rsidRPr="007D55C6" w:rsidRDefault="007D55C6" w:rsidP="007D55C6">
      <w:r w:rsidRPr="007D55C6">
        <w:t>For CPGCs, this means documenting:</w:t>
      </w:r>
    </w:p>
    <w:p w14:paraId="3B08EE46" w14:textId="77777777" w:rsidR="007D55C6" w:rsidRPr="007D55C6" w:rsidRDefault="007D55C6" w:rsidP="007D55C6">
      <w:pPr>
        <w:numPr>
          <w:ilvl w:val="0"/>
          <w:numId w:val="2"/>
        </w:numPr>
      </w:pPr>
      <w:r w:rsidRPr="007D55C6">
        <w:t xml:space="preserve">Review of conservatorship records </w:t>
      </w:r>
    </w:p>
    <w:p w14:paraId="60A9D609" w14:textId="77777777" w:rsidR="007D55C6" w:rsidRPr="007D55C6" w:rsidRDefault="007D55C6" w:rsidP="007D55C6">
      <w:pPr>
        <w:numPr>
          <w:ilvl w:val="0"/>
          <w:numId w:val="2"/>
        </w:numPr>
      </w:pPr>
      <w:r w:rsidRPr="007D55C6">
        <w:lastRenderedPageBreak/>
        <w:t xml:space="preserve">Bank and investment accounts </w:t>
      </w:r>
    </w:p>
    <w:p w14:paraId="6E84F29B" w14:textId="77777777" w:rsidR="007D55C6" w:rsidRPr="007D55C6" w:rsidRDefault="007D55C6" w:rsidP="007D55C6">
      <w:pPr>
        <w:numPr>
          <w:ilvl w:val="0"/>
          <w:numId w:val="2"/>
        </w:numPr>
      </w:pPr>
      <w:r w:rsidRPr="007D55C6">
        <w:t xml:space="preserve">Real property records </w:t>
      </w:r>
    </w:p>
    <w:p w14:paraId="7D5C0E41" w14:textId="77777777" w:rsidR="007D55C6" w:rsidRPr="007D55C6" w:rsidRDefault="007D55C6" w:rsidP="007D55C6">
      <w:pPr>
        <w:numPr>
          <w:ilvl w:val="0"/>
          <w:numId w:val="2"/>
        </w:numPr>
      </w:pPr>
      <w:r w:rsidRPr="007D55C6">
        <w:t xml:space="preserve">Vehicle ownership </w:t>
      </w:r>
    </w:p>
    <w:p w14:paraId="4F9BCDD2" w14:textId="77777777" w:rsidR="007D55C6" w:rsidRPr="007D55C6" w:rsidRDefault="007D55C6" w:rsidP="007D55C6">
      <w:pPr>
        <w:numPr>
          <w:ilvl w:val="0"/>
          <w:numId w:val="2"/>
        </w:numPr>
      </w:pPr>
      <w:r w:rsidRPr="007D55C6">
        <w:t xml:space="preserve">Insurance and retirement accounts </w:t>
      </w:r>
    </w:p>
    <w:p w14:paraId="2733D505" w14:textId="77777777" w:rsidR="007D55C6" w:rsidRPr="007D55C6" w:rsidRDefault="007D55C6" w:rsidP="007D55C6">
      <w:pPr>
        <w:numPr>
          <w:ilvl w:val="0"/>
          <w:numId w:val="2"/>
        </w:numPr>
      </w:pPr>
      <w:r w:rsidRPr="007D55C6">
        <w:t xml:space="preserve">Communications with family members and advisors </w:t>
      </w:r>
    </w:p>
    <w:p w14:paraId="0A7FF198" w14:textId="77777777" w:rsidR="007D55C6" w:rsidRPr="007D55C6" w:rsidRDefault="00000000" w:rsidP="007D55C6">
      <w:r>
        <w:pict w14:anchorId="08FF88B7">
          <v:rect id="_x0000_i1026" style="width:0;height:1.5pt" o:hralign="center" o:hrstd="t" o:hr="t" fillcolor="#a0a0a0" stroked="f"/>
        </w:pict>
      </w:r>
    </w:p>
    <w:p w14:paraId="69640059" w14:textId="77777777" w:rsidR="007D55C6" w:rsidRPr="007D55C6" w:rsidRDefault="007D55C6" w:rsidP="007D55C6">
      <w:pPr>
        <w:rPr>
          <w:b/>
          <w:bCs/>
        </w:rPr>
      </w:pPr>
      <w:r w:rsidRPr="007D55C6">
        <w:rPr>
          <w:b/>
          <w:bCs/>
        </w:rPr>
        <w:t>3. Greater Transparency Regarding Estate Assets</w:t>
      </w:r>
    </w:p>
    <w:p w14:paraId="3C6E5603" w14:textId="77777777" w:rsidR="007D55C6" w:rsidRPr="007D55C6" w:rsidRDefault="007D55C6" w:rsidP="007D55C6">
      <w:r w:rsidRPr="007D55C6">
        <w:t>Many petitioners must now provide a general description of major probate assets, including:</w:t>
      </w:r>
    </w:p>
    <w:p w14:paraId="6FE67858" w14:textId="77777777" w:rsidR="007D55C6" w:rsidRPr="007D55C6" w:rsidRDefault="007D55C6" w:rsidP="007D55C6">
      <w:pPr>
        <w:numPr>
          <w:ilvl w:val="0"/>
          <w:numId w:val="3"/>
        </w:numPr>
      </w:pPr>
      <w:r w:rsidRPr="007D55C6">
        <w:t xml:space="preserve">Real estate </w:t>
      </w:r>
    </w:p>
    <w:p w14:paraId="77A3BE34" w14:textId="77777777" w:rsidR="007D55C6" w:rsidRPr="007D55C6" w:rsidRDefault="007D55C6" w:rsidP="007D55C6">
      <w:pPr>
        <w:numPr>
          <w:ilvl w:val="0"/>
          <w:numId w:val="3"/>
        </w:numPr>
      </w:pPr>
      <w:r w:rsidRPr="007D55C6">
        <w:t xml:space="preserve">Motor vehicles </w:t>
      </w:r>
    </w:p>
    <w:p w14:paraId="5FC4C301" w14:textId="77777777" w:rsidR="007D55C6" w:rsidRPr="007D55C6" w:rsidRDefault="007D55C6" w:rsidP="007D55C6">
      <w:pPr>
        <w:numPr>
          <w:ilvl w:val="0"/>
          <w:numId w:val="3"/>
        </w:numPr>
      </w:pPr>
      <w:r w:rsidRPr="007D55C6">
        <w:t xml:space="preserve">Assets </w:t>
      </w:r>
      <w:proofErr w:type="gramStart"/>
      <w:r w:rsidRPr="007D55C6">
        <w:t>exceeding</w:t>
      </w:r>
      <w:proofErr w:type="gramEnd"/>
      <w:r w:rsidRPr="007D55C6">
        <w:t xml:space="preserve"> approximately $10,000 in value </w:t>
      </w:r>
    </w:p>
    <w:p w14:paraId="1A79EFC8" w14:textId="77777777" w:rsidR="007D55C6" w:rsidRPr="007D55C6" w:rsidRDefault="007D55C6" w:rsidP="007D55C6">
      <w:r w:rsidRPr="007D55C6">
        <w:t xml:space="preserve">This requirement is intended to allow the court and heirs to understand the scope of the estate before appointment. </w:t>
      </w:r>
    </w:p>
    <w:p w14:paraId="52F08D25" w14:textId="77777777" w:rsidR="007D55C6" w:rsidRPr="007D55C6" w:rsidRDefault="00000000" w:rsidP="007D55C6">
      <w:r>
        <w:pict w14:anchorId="4E2C9525">
          <v:rect id="_x0000_i1027" style="width:0;height:1.5pt" o:hralign="center" o:hrstd="t" o:hr="t" fillcolor="#a0a0a0" stroked="f"/>
        </w:pict>
      </w:r>
    </w:p>
    <w:p w14:paraId="716394D6" w14:textId="77777777" w:rsidR="007D55C6" w:rsidRPr="007D55C6" w:rsidRDefault="007D55C6" w:rsidP="007D55C6">
      <w:pPr>
        <w:rPr>
          <w:b/>
          <w:bCs/>
        </w:rPr>
      </w:pPr>
      <w:r w:rsidRPr="007D55C6">
        <w:rPr>
          <w:b/>
          <w:bCs/>
        </w:rPr>
        <w:t>4. Additional Restrictions on "Suitable Person" Appointments</w:t>
      </w:r>
    </w:p>
    <w:p w14:paraId="1451D220" w14:textId="77777777" w:rsidR="007D55C6" w:rsidRPr="007D55C6" w:rsidRDefault="007D55C6" w:rsidP="007D55C6">
      <w:r w:rsidRPr="007D55C6">
        <w:t>Prior to HB 2445, after 40 days from death, courts often had broad discretion to appoint "any suitable person."</w:t>
      </w:r>
    </w:p>
    <w:p w14:paraId="21F6DD2F" w14:textId="77777777" w:rsidR="007D55C6" w:rsidRPr="007D55C6" w:rsidRDefault="007D55C6" w:rsidP="007D55C6">
      <w:r w:rsidRPr="007D55C6">
        <w:t xml:space="preserve">The new law imposes additional scrutiny and requirements for </w:t>
      </w:r>
      <w:proofErr w:type="gramStart"/>
      <w:r w:rsidRPr="007D55C6">
        <w:t>persons</w:t>
      </w:r>
      <w:proofErr w:type="gramEnd"/>
      <w:r w:rsidRPr="007D55C6">
        <w:t xml:space="preserve"> who do not have a meaningful legal relationship to the decedent. Courts are expected to evaluate qualifications more carefully before appointing a non-family petitioner. </w:t>
      </w:r>
    </w:p>
    <w:p w14:paraId="16901976" w14:textId="77777777" w:rsidR="007D55C6" w:rsidRPr="007D55C6" w:rsidRDefault="007D55C6" w:rsidP="007D55C6">
      <w:r w:rsidRPr="007D55C6">
        <w:t>For professional fiduciaries, the days of obtaining probate appointments merely because no family member appeared are largely over.</w:t>
      </w:r>
    </w:p>
    <w:p w14:paraId="312D7EFD" w14:textId="77777777" w:rsidR="007D55C6" w:rsidRPr="007D55C6" w:rsidRDefault="00000000" w:rsidP="007D55C6">
      <w:r>
        <w:pict w14:anchorId="1F627CEB">
          <v:rect id="_x0000_i1028" style="width:0;height:1.5pt" o:hralign="center" o:hrstd="t" o:hr="t" fillcolor="#a0a0a0" stroked="f"/>
        </w:pict>
      </w:r>
    </w:p>
    <w:p w14:paraId="396D6F73" w14:textId="77777777" w:rsidR="007D55C6" w:rsidRPr="007D55C6" w:rsidRDefault="007D55C6" w:rsidP="007D55C6">
      <w:pPr>
        <w:rPr>
          <w:b/>
          <w:bCs/>
        </w:rPr>
      </w:pPr>
      <w:r w:rsidRPr="007D55C6">
        <w:rPr>
          <w:b/>
          <w:bCs/>
        </w:rPr>
        <w:t>5. Expanded Notice Requirements</w:t>
      </w:r>
    </w:p>
    <w:p w14:paraId="365969D1" w14:textId="77777777" w:rsidR="007D55C6" w:rsidRPr="007D55C6" w:rsidRDefault="007D55C6" w:rsidP="007D55C6">
      <w:r w:rsidRPr="007D55C6">
        <w:t>The legislation strengthens protections for heirs and beneficiaries by requiring greater notice and transparency.</w:t>
      </w:r>
    </w:p>
    <w:p w14:paraId="1F3D4501" w14:textId="0007125E" w:rsidR="007D55C6" w:rsidRPr="007D55C6" w:rsidRDefault="007D55C6" w:rsidP="007D55C6">
      <w:r w:rsidRPr="007D55C6">
        <w:lastRenderedPageBreak/>
        <w:t xml:space="preserve">A personal representative must provide notice of appointment and the probate </w:t>
      </w:r>
      <w:proofErr w:type="gramStart"/>
      <w:r w:rsidRPr="007D55C6">
        <w:t>proceeding</w:t>
      </w:r>
      <w:proofErr w:type="gramEnd"/>
      <w:r w:rsidRPr="007D55C6">
        <w:t xml:space="preserve"> to heirs, devisees, beneficiaries, and certain </w:t>
      </w:r>
      <w:proofErr w:type="spellStart"/>
      <w:r w:rsidRPr="007D55C6">
        <w:t>nonprobate</w:t>
      </w:r>
      <w:proofErr w:type="spellEnd"/>
      <w:r w:rsidRPr="007D55C6">
        <w:t xml:space="preserve"> transferees within statutory timeframes. </w:t>
      </w:r>
    </w:p>
    <w:p w14:paraId="0C8CF52F" w14:textId="77777777" w:rsidR="007D55C6" w:rsidRPr="007D55C6" w:rsidRDefault="007D55C6" w:rsidP="007D55C6">
      <w:r w:rsidRPr="007D55C6">
        <w:t>CPGCs should assume courts will expect diligent efforts to identify and notify all interested parties.</w:t>
      </w:r>
    </w:p>
    <w:p w14:paraId="16A6B9EF" w14:textId="77777777" w:rsidR="007D55C6" w:rsidRPr="007D55C6" w:rsidRDefault="00000000" w:rsidP="007D55C6">
      <w:r>
        <w:pict w14:anchorId="205EF9FF">
          <v:rect id="_x0000_i1029" style="width:0;height:1.5pt" o:hralign="center" o:hrstd="t" o:hr="t" fillcolor="#a0a0a0" stroked="f"/>
        </w:pict>
      </w:r>
    </w:p>
    <w:p w14:paraId="1537BF99" w14:textId="77777777" w:rsidR="007D55C6" w:rsidRPr="007D55C6" w:rsidRDefault="007D55C6" w:rsidP="007D55C6">
      <w:pPr>
        <w:rPr>
          <w:b/>
          <w:bCs/>
        </w:rPr>
      </w:pPr>
      <w:r w:rsidRPr="007D55C6">
        <w:rPr>
          <w:b/>
          <w:bCs/>
        </w:rPr>
        <w:t>6. Increased Court Scrutiny of Professional Fiduciaries</w:t>
      </w:r>
    </w:p>
    <w:p w14:paraId="16BE05C9" w14:textId="77777777" w:rsidR="007D55C6" w:rsidRPr="007D55C6" w:rsidRDefault="007D55C6" w:rsidP="007D55C6">
      <w:r w:rsidRPr="007D55C6">
        <w:t>The Attorney General supported HB 2445 after several high-profile probate abuse cases. Courts are now expected to carefully review:</w:t>
      </w:r>
    </w:p>
    <w:p w14:paraId="12F0A226" w14:textId="77777777" w:rsidR="007D55C6" w:rsidRPr="007D55C6" w:rsidRDefault="007D55C6" w:rsidP="007D55C6">
      <w:pPr>
        <w:numPr>
          <w:ilvl w:val="0"/>
          <w:numId w:val="4"/>
        </w:numPr>
      </w:pPr>
      <w:r w:rsidRPr="007D55C6">
        <w:t xml:space="preserve">The petitioner's relationship to the decedent </w:t>
      </w:r>
    </w:p>
    <w:p w14:paraId="34895323" w14:textId="77777777" w:rsidR="007D55C6" w:rsidRPr="007D55C6" w:rsidRDefault="007D55C6" w:rsidP="007D55C6">
      <w:pPr>
        <w:numPr>
          <w:ilvl w:val="0"/>
          <w:numId w:val="4"/>
        </w:numPr>
      </w:pPr>
      <w:r w:rsidRPr="007D55C6">
        <w:t xml:space="preserve">Potential conflicts of interest </w:t>
      </w:r>
    </w:p>
    <w:p w14:paraId="13473C8F" w14:textId="77777777" w:rsidR="007D55C6" w:rsidRPr="007D55C6" w:rsidRDefault="007D55C6" w:rsidP="007D55C6">
      <w:pPr>
        <w:numPr>
          <w:ilvl w:val="0"/>
          <w:numId w:val="4"/>
        </w:numPr>
      </w:pPr>
      <w:r w:rsidRPr="007D55C6">
        <w:t xml:space="preserve">Compensation arrangements </w:t>
      </w:r>
    </w:p>
    <w:p w14:paraId="2EEB016F" w14:textId="77777777" w:rsidR="007D55C6" w:rsidRPr="007D55C6" w:rsidRDefault="007D55C6" w:rsidP="007D55C6">
      <w:pPr>
        <w:numPr>
          <w:ilvl w:val="0"/>
          <w:numId w:val="4"/>
        </w:numPr>
      </w:pPr>
      <w:r w:rsidRPr="007D55C6">
        <w:t xml:space="preserve">Whether appointment benefits heirs and creditors </w:t>
      </w:r>
    </w:p>
    <w:p w14:paraId="08A2BDBE" w14:textId="77777777" w:rsidR="007D55C6" w:rsidRPr="007D55C6" w:rsidRDefault="007D55C6" w:rsidP="007D55C6">
      <w:r w:rsidRPr="007D55C6">
        <w:t xml:space="preserve">The focus is no longer simply whether someone is willing to serve, but whether appointment serves the best interests of the estate and beneficiaries. </w:t>
      </w:r>
    </w:p>
    <w:p w14:paraId="6655E143" w14:textId="77777777" w:rsidR="007D55C6" w:rsidRPr="007D55C6" w:rsidRDefault="00000000" w:rsidP="007D55C6">
      <w:r>
        <w:pict w14:anchorId="76A96F12">
          <v:rect id="_x0000_i1030" style="width:0;height:1.5pt" o:hralign="center" o:hrstd="t" o:hr="t" fillcolor="#a0a0a0" stroked="f"/>
        </w:pict>
      </w:r>
    </w:p>
    <w:p w14:paraId="07AFACDF" w14:textId="77777777" w:rsidR="007D55C6" w:rsidRPr="007D55C6" w:rsidRDefault="007D55C6" w:rsidP="007D55C6">
      <w:pPr>
        <w:rPr>
          <w:b/>
          <w:bCs/>
        </w:rPr>
      </w:pPr>
      <w:r w:rsidRPr="007D55C6">
        <w:rPr>
          <w:b/>
          <w:bCs/>
        </w:rPr>
        <w:t>Practical Impact for Existing Conservators</w:t>
      </w:r>
    </w:p>
    <w:p w14:paraId="79879F34" w14:textId="77777777" w:rsidR="007D55C6" w:rsidRPr="007D55C6" w:rsidRDefault="007D55C6" w:rsidP="007D55C6">
      <w:r w:rsidRPr="007D55C6">
        <w:t>When a protected person dies and you were the court-appointed conservator:</w:t>
      </w:r>
    </w:p>
    <w:p w14:paraId="62F396EF" w14:textId="77777777" w:rsidR="007D55C6" w:rsidRPr="007D55C6" w:rsidRDefault="007D55C6" w:rsidP="007D55C6">
      <w:pPr>
        <w:rPr>
          <w:b/>
          <w:bCs/>
        </w:rPr>
      </w:pPr>
      <w:r w:rsidRPr="007D55C6">
        <w:rPr>
          <w:b/>
          <w:bCs/>
        </w:rPr>
        <w:t>Advantages</w:t>
      </w:r>
    </w:p>
    <w:p w14:paraId="35F23135" w14:textId="77777777" w:rsidR="007D55C6" w:rsidRPr="007D55C6" w:rsidRDefault="007D55C6" w:rsidP="007D55C6">
      <w:pPr>
        <w:numPr>
          <w:ilvl w:val="0"/>
          <w:numId w:val="5"/>
        </w:numPr>
      </w:pPr>
      <w:r w:rsidRPr="007D55C6">
        <w:t xml:space="preserve">Statutory priority for </w:t>
      </w:r>
      <w:proofErr w:type="gramStart"/>
      <w:r w:rsidRPr="007D55C6">
        <w:t>appointment</w:t>
      </w:r>
      <w:proofErr w:type="gramEnd"/>
      <w:r w:rsidRPr="007D55C6">
        <w:t xml:space="preserve"> is stronger than before. </w:t>
      </w:r>
    </w:p>
    <w:p w14:paraId="275684B0" w14:textId="77777777" w:rsidR="007D55C6" w:rsidRPr="007D55C6" w:rsidRDefault="007D55C6" w:rsidP="007D55C6">
      <w:pPr>
        <w:numPr>
          <w:ilvl w:val="0"/>
          <w:numId w:val="5"/>
        </w:numPr>
      </w:pPr>
      <w:r w:rsidRPr="007D55C6">
        <w:t xml:space="preserve">You already possess detailed financial records. </w:t>
      </w:r>
    </w:p>
    <w:p w14:paraId="3D2D23E3" w14:textId="77777777" w:rsidR="007D55C6" w:rsidRPr="007D55C6" w:rsidRDefault="007D55C6" w:rsidP="007D55C6">
      <w:pPr>
        <w:numPr>
          <w:ilvl w:val="0"/>
          <w:numId w:val="5"/>
        </w:numPr>
      </w:pPr>
      <w:r w:rsidRPr="007D55C6">
        <w:t xml:space="preserve">You have knowledge of assets, liabilities, and benefit programs. </w:t>
      </w:r>
    </w:p>
    <w:p w14:paraId="07C68E0A" w14:textId="77777777" w:rsidR="007D55C6" w:rsidRPr="007D55C6" w:rsidRDefault="007D55C6" w:rsidP="007D55C6">
      <w:pPr>
        <w:numPr>
          <w:ilvl w:val="0"/>
          <w:numId w:val="5"/>
        </w:numPr>
      </w:pPr>
      <w:r w:rsidRPr="007D55C6">
        <w:t xml:space="preserve">Marshaling estate assets is often more efficient. </w:t>
      </w:r>
    </w:p>
    <w:p w14:paraId="6743CF8D" w14:textId="77777777" w:rsidR="007D55C6" w:rsidRPr="007D55C6" w:rsidRDefault="007D55C6" w:rsidP="007D55C6">
      <w:pPr>
        <w:rPr>
          <w:b/>
          <w:bCs/>
        </w:rPr>
      </w:pPr>
      <w:r w:rsidRPr="007D55C6">
        <w:rPr>
          <w:b/>
          <w:bCs/>
        </w:rPr>
        <w:t>Challenges</w:t>
      </w:r>
    </w:p>
    <w:p w14:paraId="2F7E3DB9" w14:textId="77777777" w:rsidR="007D55C6" w:rsidRPr="007D55C6" w:rsidRDefault="007D55C6" w:rsidP="007D55C6">
      <w:pPr>
        <w:numPr>
          <w:ilvl w:val="0"/>
          <w:numId w:val="6"/>
        </w:numPr>
      </w:pPr>
      <w:r w:rsidRPr="007D55C6">
        <w:t xml:space="preserve">More </w:t>
      </w:r>
      <w:proofErr w:type="gramStart"/>
      <w:r w:rsidRPr="007D55C6">
        <w:t>extensive petition</w:t>
      </w:r>
      <w:proofErr w:type="gramEnd"/>
      <w:r w:rsidRPr="007D55C6">
        <w:t xml:space="preserve"> requirements. </w:t>
      </w:r>
    </w:p>
    <w:p w14:paraId="1912B275" w14:textId="77777777" w:rsidR="007D55C6" w:rsidRPr="007D55C6" w:rsidRDefault="007D55C6" w:rsidP="007D55C6">
      <w:pPr>
        <w:numPr>
          <w:ilvl w:val="0"/>
          <w:numId w:val="6"/>
        </w:numPr>
      </w:pPr>
      <w:r w:rsidRPr="007D55C6">
        <w:t xml:space="preserve">Asset-search documentation required. </w:t>
      </w:r>
    </w:p>
    <w:p w14:paraId="7D54FA95" w14:textId="77777777" w:rsidR="007D55C6" w:rsidRPr="007D55C6" w:rsidRDefault="007D55C6" w:rsidP="007D55C6">
      <w:pPr>
        <w:numPr>
          <w:ilvl w:val="0"/>
          <w:numId w:val="6"/>
        </w:numPr>
      </w:pPr>
      <w:proofErr w:type="gramStart"/>
      <w:r w:rsidRPr="007D55C6">
        <w:t>Increased</w:t>
      </w:r>
      <w:proofErr w:type="gramEnd"/>
      <w:r w:rsidRPr="007D55C6">
        <w:t xml:space="preserve"> notice obligations. </w:t>
      </w:r>
    </w:p>
    <w:p w14:paraId="401E1C4B" w14:textId="77777777" w:rsidR="007D55C6" w:rsidRPr="007D55C6" w:rsidRDefault="007D55C6" w:rsidP="007D55C6">
      <w:pPr>
        <w:numPr>
          <w:ilvl w:val="0"/>
          <w:numId w:val="6"/>
        </w:numPr>
      </w:pPr>
      <w:r w:rsidRPr="007D55C6">
        <w:lastRenderedPageBreak/>
        <w:t xml:space="preserve">Greater judicial scrutiny of fees and conflicts. </w:t>
      </w:r>
    </w:p>
    <w:p w14:paraId="5E302DF4" w14:textId="77777777" w:rsidR="007D55C6" w:rsidRPr="007D55C6" w:rsidRDefault="007D55C6" w:rsidP="007D55C6">
      <w:pPr>
        <w:numPr>
          <w:ilvl w:val="0"/>
          <w:numId w:val="6"/>
        </w:numPr>
      </w:pPr>
      <w:r w:rsidRPr="007D55C6">
        <w:t xml:space="preserve">Heirs may be more likely to contest appointments. </w:t>
      </w:r>
    </w:p>
    <w:p w14:paraId="795FD921" w14:textId="77777777" w:rsidR="007D55C6" w:rsidRPr="007D55C6" w:rsidRDefault="00000000" w:rsidP="007D55C6">
      <w:r>
        <w:pict w14:anchorId="5D16F1A9">
          <v:rect id="_x0000_i1031" style="width:0;height:1.5pt" o:hralign="center" o:hrstd="t" o:hr="t" fillcolor="#a0a0a0" stroked="f"/>
        </w:pict>
      </w:r>
    </w:p>
    <w:p w14:paraId="6D19D1FA" w14:textId="77777777" w:rsidR="007D55C6" w:rsidRPr="007D55C6" w:rsidRDefault="007D55C6" w:rsidP="007D55C6">
      <w:pPr>
        <w:rPr>
          <w:b/>
          <w:bCs/>
        </w:rPr>
      </w:pPr>
      <w:r w:rsidRPr="007D55C6">
        <w:rPr>
          <w:b/>
          <w:bCs/>
        </w:rPr>
        <w:t>Practical Impact for CPGCs Not Previously Involved</w:t>
      </w:r>
    </w:p>
    <w:p w14:paraId="129961ED" w14:textId="77777777" w:rsidR="007D55C6" w:rsidRPr="007D55C6" w:rsidRDefault="007D55C6" w:rsidP="007D55C6">
      <w:r w:rsidRPr="007D55C6">
        <w:t xml:space="preserve">If you were </w:t>
      </w:r>
      <w:r w:rsidRPr="007D55C6">
        <w:rPr>
          <w:b/>
          <w:bCs/>
        </w:rPr>
        <w:t>not</w:t>
      </w:r>
      <w:r w:rsidRPr="007D55C6">
        <w:t xml:space="preserve"> the guardian or conservator before death:</w:t>
      </w:r>
    </w:p>
    <w:p w14:paraId="214E8F8D" w14:textId="77777777" w:rsidR="007D55C6" w:rsidRPr="007D55C6" w:rsidRDefault="007D55C6" w:rsidP="007D55C6">
      <w:pPr>
        <w:numPr>
          <w:ilvl w:val="0"/>
          <w:numId w:val="7"/>
        </w:numPr>
      </w:pPr>
      <w:r w:rsidRPr="007D55C6">
        <w:t xml:space="preserve">Appointment will generally be more difficult. </w:t>
      </w:r>
    </w:p>
    <w:p w14:paraId="5DE5CE84" w14:textId="77777777" w:rsidR="007D55C6" w:rsidRPr="007D55C6" w:rsidRDefault="007D55C6" w:rsidP="007D55C6">
      <w:pPr>
        <w:numPr>
          <w:ilvl w:val="0"/>
          <w:numId w:val="7"/>
        </w:numPr>
      </w:pPr>
      <w:r w:rsidRPr="007D55C6">
        <w:t xml:space="preserve">Courts will expect evidence that </w:t>
      </w:r>
      <w:proofErr w:type="gramStart"/>
      <w:r w:rsidRPr="007D55C6">
        <w:t>persons</w:t>
      </w:r>
      <w:proofErr w:type="gramEnd"/>
      <w:r w:rsidRPr="007D55C6">
        <w:t xml:space="preserve"> with higher statutory priority are unavailable or unwilling. </w:t>
      </w:r>
    </w:p>
    <w:p w14:paraId="543083EE" w14:textId="77777777" w:rsidR="007D55C6" w:rsidRPr="007D55C6" w:rsidRDefault="007D55C6" w:rsidP="007D55C6">
      <w:pPr>
        <w:numPr>
          <w:ilvl w:val="0"/>
          <w:numId w:val="7"/>
        </w:numPr>
      </w:pPr>
      <w:r w:rsidRPr="007D55C6">
        <w:t xml:space="preserve">Detailed disclosures and notice requirements apply. </w:t>
      </w:r>
    </w:p>
    <w:p w14:paraId="64422377" w14:textId="77777777" w:rsidR="007D55C6" w:rsidRPr="007D55C6" w:rsidRDefault="007D55C6" w:rsidP="007D55C6">
      <w:pPr>
        <w:numPr>
          <w:ilvl w:val="0"/>
          <w:numId w:val="7"/>
        </w:numPr>
      </w:pPr>
      <w:r w:rsidRPr="007D55C6">
        <w:t xml:space="preserve">The "suitable person" pathway is significantly narrower than before June 11, 2026. </w:t>
      </w:r>
    </w:p>
    <w:p w14:paraId="58577C8C" w14:textId="77777777" w:rsidR="007D55C6" w:rsidRPr="007D55C6" w:rsidRDefault="007D55C6" w:rsidP="007D55C6">
      <w:pPr>
        <w:rPr>
          <w:b/>
          <w:bCs/>
        </w:rPr>
      </w:pPr>
      <w:r w:rsidRPr="007D55C6">
        <w:rPr>
          <w:b/>
          <w:bCs/>
        </w:rPr>
        <w:t>Bottom Line</w:t>
      </w:r>
    </w:p>
    <w:p w14:paraId="2F51EB6A" w14:textId="77777777" w:rsidR="007D55C6" w:rsidRPr="007D55C6" w:rsidRDefault="007D55C6" w:rsidP="007D55C6">
      <w:r w:rsidRPr="007D55C6">
        <w:t xml:space="preserve">For Washington CPGCs, HB 2445 does </w:t>
      </w:r>
      <w:r w:rsidRPr="007D55C6">
        <w:rPr>
          <w:b/>
          <w:bCs/>
        </w:rPr>
        <w:t>not prohibit</w:t>
      </w:r>
      <w:r w:rsidRPr="007D55C6">
        <w:t xml:space="preserve"> professional fiduciaries from serving as personal representatives. Instead, it:</w:t>
      </w:r>
    </w:p>
    <w:p w14:paraId="74C11234" w14:textId="77777777" w:rsidR="007D55C6" w:rsidRPr="007D55C6" w:rsidRDefault="007D55C6" w:rsidP="007D55C6">
      <w:pPr>
        <w:numPr>
          <w:ilvl w:val="0"/>
          <w:numId w:val="8"/>
        </w:numPr>
      </w:pPr>
      <w:r w:rsidRPr="007D55C6">
        <w:t xml:space="preserve">Gives conservators and guardians clearer statutory standing in many estates. </w:t>
      </w:r>
    </w:p>
    <w:p w14:paraId="2DE446C8" w14:textId="77777777" w:rsidR="007D55C6" w:rsidRPr="007D55C6" w:rsidRDefault="007D55C6" w:rsidP="007D55C6">
      <w:pPr>
        <w:numPr>
          <w:ilvl w:val="0"/>
          <w:numId w:val="8"/>
        </w:numPr>
      </w:pPr>
      <w:r w:rsidRPr="007D55C6">
        <w:t xml:space="preserve">Requires more thorough pre-filing investigation. </w:t>
      </w:r>
    </w:p>
    <w:p w14:paraId="297C4418" w14:textId="77777777" w:rsidR="007D55C6" w:rsidRPr="007D55C6" w:rsidRDefault="007D55C6" w:rsidP="007D55C6">
      <w:pPr>
        <w:numPr>
          <w:ilvl w:val="0"/>
          <w:numId w:val="8"/>
        </w:numPr>
      </w:pPr>
      <w:r w:rsidRPr="007D55C6">
        <w:t xml:space="preserve">Increases transparency regarding assets and heirs. </w:t>
      </w:r>
    </w:p>
    <w:p w14:paraId="1F4D139A" w14:textId="77777777" w:rsidR="007D55C6" w:rsidRPr="007D55C6" w:rsidRDefault="007D55C6" w:rsidP="007D55C6">
      <w:pPr>
        <w:numPr>
          <w:ilvl w:val="0"/>
          <w:numId w:val="8"/>
        </w:numPr>
      </w:pPr>
      <w:r w:rsidRPr="007D55C6">
        <w:t xml:space="preserve">Limits probate appointments based solely on being a willing "suitable person." </w:t>
      </w:r>
    </w:p>
    <w:p w14:paraId="6AF5CE57" w14:textId="77777777" w:rsidR="007D55C6" w:rsidRPr="007D55C6" w:rsidRDefault="007D55C6" w:rsidP="007D55C6">
      <w:pPr>
        <w:numPr>
          <w:ilvl w:val="0"/>
          <w:numId w:val="8"/>
        </w:numPr>
      </w:pPr>
      <w:proofErr w:type="gramStart"/>
      <w:r w:rsidRPr="007D55C6">
        <w:t>Subjects</w:t>
      </w:r>
      <w:proofErr w:type="gramEnd"/>
      <w:r w:rsidRPr="007D55C6">
        <w:t xml:space="preserve"> professional fiduciary appointments to greater scrutiny to ensure the probate benefits heirs and creditors rather than the petitioner. </w:t>
      </w:r>
    </w:p>
    <w:p w14:paraId="72F9BFD0" w14:textId="77777777" w:rsidR="007D55C6" w:rsidRPr="007D55C6" w:rsidRDefault="007D55C6" w:rsidP="007D55C6">
      <w:r w:rsidRPr="007D55C6">
        <w:t>A CPGC who has been serving as conservator before death will generally be in the strongest position to obtain appointment under the new law, provided the petition fully documents the conservatorship relationship, asset search, and notice efforts.</w:t>
      </w:r>
    </w:p>
    <w:p w14:paraId="4EF45914" w14:textId="77777777" w:rsidR="007D55C6" w:rsidRDefault="007D55C6"/>
    <w:sectPr w:rsidR="007D5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19B"/>
    <w:multiLevelType w:val="multilevel"/>
    <w:tmpl w:val="4EB4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92AE2"/>
    <w:multiLevelType w:val="multilevel"/>
    <w:tmpl w:val="BA74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14B4E"/>
    <w:multiLevelType w:val="multilevel"/>
    <w:tmpl w:val="4FF8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17CE3"/>
    <w:multiLevelType w:val="multilevel"/>
    <w:tmpl w:val="AAF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F1973"/>
    <w:multiLevelType w:val="multilevel"/>
    <w:tmpl w:val="011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C5ED5"/>
    <w:multiLevelType w:val="multilevel"/>
    <w:tmpl w:val="D218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DD6C30"/>
    <w:multiLevelType w:val="multilevel"/>
    <w:tmpl w:val="5220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869E3"/>
    <w:multiLevelType w:val="multilevel"/>
    <w:tmpl w:val="EF78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926998">
    <w:abstractNumId w:val="1"/>
  </w:num>
  <w:num w:numId="2" w16cid:durableId="2043550745">
    <w:abstractNumId w:val="4"/>
  </w:num>
  <w:num w:numId="3" w16cid:durableId="1386878339">
    <w:abstractNumId w:val="2"/>
  </w:num>
  <w:num w:numId="4" w16cid:durableId="846286208">
    <w:abstractNumId w:val="0"/>
  </w:num>
  <w:num w:numId="5" w16cid:durableId="1751466189">
    <w:abstractNumId w:val="7"/>
  </w:num>
  <w:num w:numId="6" w16cid:durableId="919872883">
    <w:abstractNumId w:val="3"/>
  </w:num>
  <w:num w:numId="7" w16cid:durableId="2107073995">
    <w:abstractNumId w:val="6"/>
  </w:num>
  <w:num w:numId="8" w16cid:durableId="794374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C6"/>
    <w:rsid w:val="004A4DE0"/>
    <w:rsid w:val="006F6A2E"/>
    <w:rsid w:val="006F6A71"/>
    <w:rsid w:val="0077790F"/>
    <w:rsid w:val="0079438D"/>
    <w:rsid w:val="007D55C6"/>
    <w:rsid w:val="00DA6C35"/>
    <w:rsid w:val="00E2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6507"/>
  <w15:chartTrackingRefBased/>
  <w15:docId w15:val="{4DAAFEF4-1257-4121-92A8-99CECE85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5C6"/>
    <w:rPr>
      <w:rFonts w:eastAsiaTheme="majorEastAsia" w:cstheme="majorBidi"/>
      <w:color w:val="272727" w:themeColor="text1" w:themeTint="D8"/>
    </w:rPr>
  </w:style>
  <w:style w:type="paragraph" w:styleId="Title">
    <w:name w:val="Title"/>
    <w:basedOn w:val="Normal"/>
    <w:next w:val="Normal"/>
    <w:link w:val="TitleChar"/>
    <w:uiPriority w:val="10"/>
    <w:qFormat/>
    <w:rsid w:val="007D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5C6"/>
    <w:pPr>
      <w:spacing w:before="160"/>
      <w:jc w:val="center"/>
    </w:pPr>
    <w:rPr>
      <w:i/>
      <w:iCs/>
      <w:color w:val="404040" w:themeColor="text1" w:themeTint="BF"/>
    </w:rPr>
  </w:style>
  <w:style w:type="character" w:customStyle="1" w:styleId="QuoteChar">
    <w:name w:val="Quote Char"/>
    <w:basedOn w:val="DefaultParagraphFont"/>
    <w:link w:val="Quote"/>
    <w:uiPriority w:val="29"/>
    <w:rsid w:val="007D55C6"/>
    <w:rPr>
      <w:i/>
      <w:iCs/>
      <w:color w:val="404040" w:themeColor="text1" w:themeTint="BF"/>
    </w:rPr>
  </w:style>
  <w:style w:type="paragraph" w:styleId="ListParagraph">
    <w:name w:val="List Paragraph"/>
    <w:basedOn w:val="Normal"/>
    <w:uiPriority w:val="34"/>
    <w:qFormat/>
    <w:rsid w:val="007D55C6"/>
    <w:pPr>
      <w:ind w:left="720"/>
      <w:contextualSpacing/>
    </w:pPr>
  </w:style>
  <w:style w:type="character" w:styleId="IntenseEmphasis">
    <w:name w:val="Intense Emphasis"/>
    <w:basedOn w:val="DefaultParagraphFont"/>
    <w:uiPriority w:val="21"/>
    <w:qFormat/>
    <w:rsid w:val="007D55C6"/>
    <w:rPr>
      <w:i/>
      <w:iCs/>
      <w:color w:val="0F4761" w:themeColor="accent1" w:themeShade="BF"/>
    </w:rPr>
  </w:style>
  <w:style w:type="paragraph" w:styleId="IntenseQuote">
    <w:name w:val="Intense Quote"/>
    <w:basedOn w:val="Normal"/>
    <w:next w:val="Normal"/>
    <w:link w:val="IntenseQuoteChar"/>
    <w:uiPriority w:val="30"/>
    <w:qFormat/>
    <w:rsid w:val="007D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5C6"/>
    <w:rPr>
      <w:i/>
      <w:iCs/>
      <w:color w:val="0F4761" w:themeColor="accent1" w:themeShade="BF"/>
    </w:rPr>
  </w:style>
  <w:style w:type="character" w:styleId="IntenseReference">
    <w:name w:val="Intense Reference"/>
    <w:basedOn w:val="DefaultParagraphFont"/>
    <w:uiPriority w:val="32"/>
    <w:qFormat/>
    <w:rsid w:val="007D5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Gilpin</dc:creator>
  <cp:keywords/>
  <dc:description/>
  <cp:lastModifiedBy>Elizabeth Gilpin</cp:lastModifiedBy>
  <cp:revision>2</cp:revision>
  <dcterms:created xsi:type="dcterms:W3CDTF">2026-06-25T18:50:00Z</dcterms:created>
  <dcterms:modified xsi:type="dcterms:W3CDTF">2026-07-20T19:52:00Z</dcterms:modified>
</cp:coreProperties>
</file>